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3B2" w:rsidRPr="009703B2" w:rsidRDefault="009703B2" w:rsidP="009703B2">
      <w:pPr>
        <w:spacing w:before="100" w:beforeAutospacing="1" w:after="100" w:afterAutospacing="1" w:line="240" w:lineRule="auto"/>
        <w:rPr>
          <w:rFonts w:ascii="Arial" w:eastAsia="Times New Roman" w:hAnsi="Arial" w:cs="Arial"/>
          <w:sz w:val="20"/>
        </w:rPr>
      </w:pPr>
      <w:r w:rsidRPr="009703B2">
        <w:rPr>
          <w:rFonts w:ascii="Arial" w:eastAsia="Times New Roman" w:hAnsi="Arial" w:cs="Arial"/>
          <w:b/>
          <w:bCs/>
          <w:sz w:val="26"/>
        </w:rPr>
        <w:t>Title 40: Protection of Environment</w:t>
      </w:r>
      <w:r w:rsidRPr="009703B2">
        <w:rPr>
          <w:rFonts w:ascii="Arial" w:eastAsia="Times New Roman" w:hAnsi="Arial" w:cs="Arial"/>
          <w:sz w:val="20"/>
          <w:szCs w:val="20"/>
        </w:rPr>
        <w:br/>
      </w:r>
      <w:bookmarkStart w:id="0" w:name="40:6.0.1.1.1"/>
      <w:r w:rsidRPr="009703B2">
        <w:rPr>
          <w:rFonts w:ascii="Arial" w:eastAsia="Times New Roman" w:hAnsi="Arial" w:cs="Arial"/>
          <w:sz w:val="20"/>
        </w:rPr>
        <w:fldChar w:fldCharType="begin"/>
      </w:r>
      <w:r w:rsidRPr="009703B2">
        <w:rPr>
          <w:rFonts w:ascii="Arial" w:eastAsia="Times New Roman" w:hAnsi="Arial" w:cs="Arial"/>
          <w:sz w:val="20"/>
        </w:rPr>
        <w:instrText xml:space="preserve"> HYPERLINK "http://ecfr.gpoaccess.gov/cgi/t/text/text-idx?c=ecfr;sid=c4d256fffb6cc8900385aa744a8fab16;rgn=div5;view=text;node=40%3A6.0.1.1.1;idno=40;cc=ecfr" </w:instrText>
      </w:r>
      <w:r w:rsidRPr="009703B2">
        <w:rPr>
          <w:rFonts w:ascii="Arial" w:eastAsia="Times New Roman" w:hAnsi="Arial" w:cs="Arial"/>
          <w:sz w:val="20"/>
        </w:rPr>
        <w:fldChar w:fldCharType="separate"/>
      </w:r>
      <w:r w:rsidRPr="009703B2">
        <w:rPr>
          <w:rFonts w:ascii="Arial" w:eastAsia="Times New Roman" w:hAnsi="Arial" w:cs="Arial"/>
          <w:color w:val="0000FF"/>
          <w:sz w:val="24"/>
          <w:szCs w:val="24"/>
          <w:u w:val="single"/>
        </w:rPr>
        <w:t>PART 60—STANDARDS OF PERFORMANCE FOR NEW STATIONARY SOURCES</w:t>
      </w:r>
      <w:r w:rsidRPr="009703B2">
        <w:rPr>
          <w:rFonts w:ascii="Arial" w:eastAsia="Times New Roman" w:hAnsi="Arial" w:cs="Arial"/>
          <w:sz w:val="20"/>
        </w:rPr>
        <w:fldChar w:fldCharType="end"/>
      </w:r>
      <w:bookmarkEnd w:id="0"/>
      <w:r w:rsidRPr="009703B2">
        <w:rPr>
          <w:rFonts w:ascii="Arial" w:eastAsia="Times New Roman" w:hAnsi="Arial" w:cs="Arial"/>
          <w:sz w:val="20"/>
        </w:rPr>
        <w:t xml:space="preserve"> </w:t>
      </w:r>
    </w:p>
    <w:p w:rsidR="009703B2" w:rsidRPr="009703B2" w:rsidRDefault="009703B2" w:rsidP="009703B2">
      <w:pPr>
        <w:spacing w:before="100" w:beforeAutospacing="1" w:after="100" w:afterAutospacing="1" w:line="240" w:lineRule="auto"/>
        <w:rPr>
          <w:rFonts w:ascii="Times New Roman" w:eastAsia="Times New Roman" w:hAnsi="Times New Roman" w:cs="Times New Roman"/>
          <w:sz w:val="24"/>
          <w:szCs w:val="24"/>
        </w:rPr>
      </w:pPr>
      <w:hyperlink r:id="rId6" w:history="1">
        <w:r w:rsidRPr="009703B2">
          <w:rPr>
            <w:rFonts w:ascii="Arial" w:eastAsia="Times New Roman" w:hAnsi="Arial" w:cs="Arial"/>
            <w:color w:val="0000FF"/>
            <w:sz w:val="24"/>
            <w:szCs w:val="24"/>
            <w:u w:val="single"/>
          </w:rPr>
          <w:t>Browse Previous</w:t>
        </w:r>
      </w:hyperlink>
      <w:r w:rsidRPr="009703B2">
        <w:rPr>
          <w:rFonts w:ascii="Arial" w:eastAsia="Times New Roman" w:hAnsi="Arial" w:cs="Arial"/>
          <w:sz w:val="20"/>
          <w:szCs w:val="20"/>
        </w:rPr>
        <w:t> | </w:t>
      </w:r>
      <w:hyperlink r:id="rId7" w:history="1">
        <w:r w:rsidRPr="009703B2">
          <w:rPr>
            <w:rFonts w:ascii="Arial" w:eastAsia="Times New Roman" w:hAnsi="Arial" w:cs="Arial"/>
            <w:color w:val="0000FF"/>
            <w:sz w:val="24"/>
            <w:szCs w:val="24"/>
            <w:u w:val="single"/>
          </w:rPr>
          <w:t>Browse Next</w:t>
        </w:r>
      </w:hyperlink>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Subpart U—Standards of Performance for the Phosphate Fertilizer Industry: Superphosphoric Acid Plants</w:t>
      </w:r>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 60.210   Applicability and designation of affected facility.</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(a) The affected facility to which the provisions of this subpart apply is each </w:t>
      </w:r>
      <w:proofErr w:type="spellStart"/>
      <w:r w:rsidRPr="009703B2">
        <w:rPr>
          <w:rFonts w:ascii="Book Antiqua" w:eastAsia="Times New Roman" w:hAnsi="Book Antiqua" w:cs="Arial"/>
          <w:sz w:val="20"/>
          <w:szCs w:val="20"/>
        </w:rPr>
        <w:t>superphosphoric</w:t>
      </w:r>
      <w:proofErr w:type="spellEnd"/>
      <w:r w:rsidRPr="009703B2">
        <w:rPr>
          <w:rFonts w:ascii="Book Antiqua" w:eastAsia="Times New Roman" w:hAnsi="Book Antiqua" w:cs="Arial"/>
          <w:sz w:val="20"/>
          <w:szCs w:val="20"/>
        </w:rPr>
        <w:t xml:space="preserve"> acid plant having a design capacity of more than 15 tons of 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 per calendar day. For the purpose of this subpart, the affected facility includes any combination of: evaporators, hot wells, acid sumps, and cooling tanks.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(b) Any facility under paragraph (a) of this section that commences construction or modification after October 22, 1974, is subject to the requirements of this subpart.</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[42 FR 37937, July 25, 1977, as amended at 48 FR 7129, Feb. 17, 1983]</w:t>
      </w:r>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 60.211   Definitions.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As used in this subpart, all terms not defined herein shall have the meaning given them in the Act and in subpart A of this part.</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(a) </w:t>
      </w:r>
      <w:r w:rsidRPr="009703B2">
        <w:rPr>
          <w:rFonts w:ascii="Book Antiqua" w:eastAsia="Times New Roman" w:hAnsi="Book Antiqua" w:cs="Arial"/>
          <w:i/>
          <w:iCs/>
          <w:sz w:val="20"/>
          <w:szCs w:val="20"/>
        </w:rPr>
        <w:t xml:space="preserve">Superphosphoric acid plant </w:t>
      </w:r>
      <w:r w:rsidRPr="009703B2">
        <w:rPr>
          <w:rFonts w:ascii="Book Antiqua" w:eastAsia="Times New Roman" w:hAnsi="Book Antiqua" w:cs="Arial"/>
          <w:sz w:val="20"/>
          <w:szCs w:val="20"/>
        </w:rPr>
        <w:t>means any facility which concentrates wet-process phosphoric acid to 66 percent or greater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content by weight for eventual consumption as a fertilizer.</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(b) </w:t>
      </w:r>
      <w:r w:rsidRPr="009703B2">
        <w:rPr>
          <w:rFonts w:ascii="Book Antiqua" w:eastAsia="Times New Roman" w:hAnsi="Book Antiqua" w:cs="Arial"/>
          <w:i/>
          <w:iCs/>
          <w:sz w:val="20"/>
          <w:szCs w:val="20"/>
        </w:rPr>
        <w:t xml:space="preserve">Total fluorides </w:t>
      </w:r>
      <w:r w:rsidRPr="009703B2">
        <w:rPr>
          <w:rFonts w:ascii="Book Antiqua" w:eastAsia="Times New Roman" w:hAnsi="Book Antiqua" w:cs="Arial"/>
          <w:sz w:val="20"/>
          <w:szCs w:val="20"/>
        </w:rPr>
        <w:t>means elemental fluorine and all fluoride compounds as measured by reference methods specified in §60.214, or equivalent or alternative methods.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w:t>
      </w:r>
      <w:proofErr w:type="gramStart"/>
      <w:r w:rsidRPr="009703B2">
        <w:rPr>
          <w:rFonts w:ascii="Book Antiqua" w:eastAsia="Times New Roman" w:hAnsi="Book Antiqua" w:cs="Arial"/>
          <w:sz w:val="20"/>
          <w:szCs w:val="20"/>
        </w:rPr>
        <w:t>c</w:t>
      </w:r>
      <w:proofErr w:type="gramEnd"/>
      <w:r w:rsidRPr="009703B2">
        <w:rPr>
          <w:rFonts w:ascii="Book Antiqua" w:eastAsia="Times New Roman" w:hAnsi="Book Antiqua" w:cs="Arial"/>
          <w:sz w:val="20"/>
          <w:szCs w:val="20"/>
        </w:rPr>
        <w:t xml:space="preserve">) </w:t>
      </w:r>
      <w:r w:rsidRPr="009703B2">
        <w:rPr>
          <w:rFonts w:ascii="Book Antiqua" w:eastAsia="Times New Roman" w:hAnsi="Book Antiqua" w:cs="Arial"/>
          <w:i/>
          <w:iCs/>
          <w:sz w:val="20"/>
          <w:szCs w:val="20"/>
        </w:rPr>
        <w:t xml:space="preserve">Equivalent P </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 xml:space="preserve"> </w:t>
      </w:r>
      <w:r w:rsidRPr="009703B2">
        <w:rPr>
          <w:rFonts w:ascii="Book Antiqua" w:eastAsia="Times New Roman" w:hAnsi="Book Antiqua" w:cs="Arial"/>
          <w:i/>
          <w:iCs/>
          <w:sz w:val="20"/>
          <w:szCs w:val="20"/>
        </w:rPr>
        <w:t xml:space="preserve">O </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 xml:space="preserve"> </w:t>
      </w:r>
      <w:r w:rsidRPr="009703B2">
        <w:rPr>
          <w:rFonts w:ascii="Book Antiqua" w:eastAsia="Times New Roman" w:hAnsi="Book Antiqua" w:cs="Arial"/>
          <w:i/>
          <w:iCs/>
          <w:sz w:val="20"/>
          <w:szCs w:val="20"/>
        </w:rPr>
        <w:t xml:space="preserve">feed </w:t>
      </w:r>
      <w:r w:rsidRPr="009703B2">
        <w:rPr>
          <w:rFonts w:ascii="Book Antiqua" w:eastAsia="Times New Roman" w:hAnsi="Book Antiqua" w:cs="Arial"/>
          <w:sz w:val="20"/>
          <w:szCs w:val="20"/>
        </w:rPr>
        <w:t xml:space="preserve">means the quantity of phosphorus, expressed as phosphorus </w:t>
      </w:r>
      <w:proofErr w:type="spellStart"/>
      <w:r w:rsidRPr="009703B2">
        <w:rPr>
          <w:rFonts w:ascii="Book Antiqua" w:eastAsia="Times New Roman" w:hAnsi="Book Antiqua" w:cs="Arial"/>
          <w:sz w:val="20"/>
          <w:szCs w:val="20"/>
        </w:rPr>
        <w:t>pentoxide</w:t>
      </w:r>
      <w:proofErr w:type="spellEnd"/>
      <w:r w:rsidRPr="009703B2">
        <w:rPr>
          <w:rFonts w:ascii="Book Antiqua" w:eastAsia="Times New Roman" w:hAnsi="Book Antiqua" w:cs="Arial"/>
          <w:sz w:val="20"/>
          <w:szCs w:val="20"/>
        </w:rPr>
        <w:t>, fed to the process.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[40 FR 33155, Aug. 6, 1975, as amended at 65 FR 61757, Oct. 17, 2000]</w:t>
      </w:r>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 60.212   Standard for fluorides.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 from any affected facility any gases which contain total fluorides in excess of 5.0 g/</w:t>
      </w:r>
      <w:proofErr w:type="spellStart"/>
      <w:r w:rsidRPr="009703B2">
        <w:rPr>
          <w:rFonts w:ascii="Book Antiqua" w:eastAsia="Times New Roman" w:hAnsi="Book Antiqua" w:cs="Arial"/>
          <w:sz w:val="20"/>
          <w:szCs w:val="20"/>
        </w:rPr>
        <w:t>megagram</w:t>
      </w:r>
      <w:proofErr w:type="spellEnd"/>
      <w:r w:rsidRPr="009703B2">
        <w:rPr>
          <w:rFonts w:ascii="Book Antiqua" w:eastAsia="Times New Roman" w:hAnsi="Book Antiqua" w:cs="Arial"/>
          <w:sz w:val="20"/>
          <w:szCs w:val="20"/>
        </w:rPr>
        <w:t xml:space="preserve"> (Mg) of 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 (0.010 lb/ton).</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[40 FR 33155, Aug. 6, 1975, as amended at 65 FR 61757, Oct. 17, 2000]</w:t>
      </w:r>
    </w:p>
    <w:p w:rsid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p>
    <w:p w:rsid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 60.213   </w:t>
      </w:r>
      <w:proofErr w:type="gramStart"/>
      <w:r w:rsidRPr="009703B2">
        <w:rPr>
          <w:rFonts w:ascii="Book Antiqua" w:eastAsia="Times New Roman" w:hAnsi="Book Antiqua" w:cs="Arial"/>
          <w:b/>
          <w:bCs/>
          <w:sz w:val="20"/>
          <w:szCs w:val="20"/>
        </w:rPr>
        <w:t>Monitoring</w:t>
      </w:r>
      <w:proofErr w:type="gramEnd"/>
      <w:r w:rsidRPr="009703B2">
        <w:rPr>
          <w:rFonts w:ascii="Book Antiqua" w:eastAsia="Times New Roman" w:hAnsi="Book Antiqua" w:cs="Arial"/>
          <w:b/>
          <w:bCs/>
          <w:sz w:val="20"/>
          <w:szCs w:val="20"/>
        </w:rPr>
        <w:t xml:space="preserve"> of operations.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(a) The owner or operator of any </w:t>
      </w:r>
      <w:proofErr w:type="spellStart"/>
      <w:r w:rsidRPr="009703B2">
        <w:rPr>
          <w:rFonts w:ascii="Book Antiqua" w:eastAsia="Times New Roman" w:hAnsi="Book Antiqua" w:cs="Arial"/>
          <w:sz w:val="20"/>
          <w:szCs w:val="20"/>
        </w:rPr>
        <w:t>superphosphoric</w:t>
      </w:r>
      <w:proofErr w:type="spellEnd"/>
      <w:r w:rsidRPr="009703B2">
        <w:rPr>
          <w:rFonts w:ascii="Book Antiqua" w:eastAsia="Times New Roman" w:hAnsi="Book Antiqua" w:cs="Arial"/>
          <w:sz w:val="20"/>
          <w:szCs w:val="20"/>
        </w:rPr>
        <w:t xml:space="preserve"> acid plant subject to the provisions of this subpart shall install, calibrate, maintain, and operate a flow monitoring device which can be used to determine the mass flow of phosphorus-bearing feed material to the process. The flow monitoring device shall have an accuracy of ±5 percent over its operating range.</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(b) The owner or operator of any </w:t>
      </w:r>
      <w:proofErr w:type="spellStart"/>
      <w:r w:rsidRPr="009703B2">
        <w:rPr>
          <w:rFonts w:ascii="Book Antiqua" w:eastAsia="Times New Roman" w:hAnsi="Book Antiqua" w:cs="Arial"/>
          <w:sz w:val="20"/>
          <w:szCs w:val="20"/>
        </w:rPr>
        <w:t>superphosphoric</w:t>
      </w:r>
      <w:proofErr w:type="spellEnd"/>
      <w:r w:rsidRPr="009703B2">
        <w:rPr>
          <w:rFonts w:ascii="Book Antiqua" w:eastAsia="Times New Roman" w:hAnsi="Book Antiqua" w:cs="Arial"/>
          <w:sz w:val="20"/>
          <w:szCs w:val="20"/>
        </w:rPr>
        <w:t xml:space="preserve"> acid plant shall maintain a daily record of 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 by first determining the total mass rate in Mg/hr of phosphorus-bearing feed using a flow monitoring device meeting the requirements of paragraph (a) of this section and then by proceeding according to §60.214(b)(3).</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 xml:space="preserve">(c) The owner or operator of any </w:t>
      </w:r>
      <w:proofErr w:type="spellStart"/>
      <w:r w:rsidRPr="009703B2">
        <w:rPr>
          <w:rFonts w:ascii="Book Antiqua" w:eastAsia="Times New Roman" w:hAnsi="Book Antiqua" w:cs="Arial"/>
          <w:sz w:val="20"/>
          <w:szCs w:val="20"/>
        </w:rPr>
        <w:t>superphosphoric</w:t>
      </w:r>
      <w:proofErr w:type="spellEnd"/>
      <w:r w:rsidRPr="009703B2">
        <w:rPr>
          <w:rFonts w:ascii="Book Antiqua" w:eastAsia="Times New Roman" w:hAnsi="Book Antiqua" w:cs="Arial"/>
          <w:sz w:val="20"/>
          <w:szCs w:val="20"/>
        </w:rPr>
        <w:t xml:space="preserve"> acid plant subject to the provisions of this part shall install, calibrate, maintain, and operate a monitoring device which continuously measures and permanently records the total pressure drop across the process scrubbing system. The monitoring device shall have an accuracy of ±5 percent over its operating range.</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[40 FR 33155, Aug. 6, 1975, as amended at 54 FR 6670, Feb. 14, 1989; 65 FR 61757, Oct. 17, 2000]</w:t>
      </w:r>
    </w:p>
    <w:p w:rsidR="009703B2" w:rsidRPr="009703B2" w:rsidRDefault="009703B2" w:rsidP="009703B2">
      <w:pPr>
        <w:spacing w:before="100" w:beforeAutospacing="1" w:after="100" w:afterAutospacing="1" w:line="240" w:lineRule="auto"/>
        <w:outlineLvl w:val="4"/>
        <w:rPr>
          <w:rFonts w:ascii="Book Antiqua" w:eastAsia="Times New Roman" w:hAnsi="Book Antiqua" w:cs="Arial"/>
          <w:b/>
          <w:bCs/>
          <w:sz w:val="20"/>
          <w:szCs w:val="20"/>
        </w:rPr>
      </w:pPr>
      <w:r w:rsidRPr="009703B2">
        <w:rPr>
          <w:rFonts w:ascii="Book Antiqua" w:eastAsia="Times New Roman" w:hAnsi="Book Antiqua" w:cs="Arial"/>
          <w:b/>
          <w:bCs/>
          <w:sz w:val="20"/>
          <w:szCs w:val="20"/>
        </w:rPr>
        <w:t>§ 60.214   Test methods and procedures.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(b) The owner or operator shall determine compliance with the total fluorides standard in §60.212 as follows:</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(1) The emission rate (E) of total fluorides shall be computed for each run using the following equation:</w:t>
      </w:r>
    </w:p>
    <w:p w:rsidR="009703B2" w:rsidRPr="009703B2" w:rsidRDefault="009703B2" w:rsidP="009703B2">
      <w:pPr>
        <w:spacing w:after="0" w:line="240" w:lineRule="auto"/>
        <w:rPr>
          <w:rFonts w:ascii="Book Antiqua" w:eastAsia="Times New Roman" w:hAnsi="Book Antiqua" w:cs="Arial"/>
          <w:sz w:val="20"/>
        </w:rPr>
      </w:pPr>
      <w:r w:rsidRPr="009703B2">
        <w:rPr>
          <w:rFonts w:ascii="Book Antiqua" w:eastAsia="Times New Roman" w:hAnsi="Book Antiqua" w:cs="Arial"/>
          <w:noProof/>
          <w:sz w:val="20"/>
          <w:szCs w:val="20"/>
        </w:rPr>
        <w:drawing>
          <wp:inline distT="0" distB="0" distL="0" distR="0">
            <wp:extent cx="1445895" cy="457200"/>
            <wp:effectExtent l="19050" t="0" r="1905" b="0"/>
            <wp:docPr id="1" name="Picture 1" descr="http://ecfr.gpoaccess.gov/graphics/ec16no91.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c16no91.008.gif"/>
                    <pic:cNvPicPr>
                      <a:picLocks noChangeAspect="1" noChangeArrowheads="1"/>
                    </pic:cNvPicPr>
                  </pic:nvPicPr>
                  <pic:blipFill>
                    <a:blip r:embed="rId8" cstate="print"/>
                    <a:srcRect/>
                    <a:stretch>
                      <a:fillRect/>
                    </a:stretch>
                  </pic:blipFill>
                  <pic:spPr bwMode="auto">
                    <a:xfrm>
                      <a:off x="0" y="0"/>
                      <a:ext cx="1445895" cy="457200"/>
                    </a:xfrm>
                    <a:prstGeom prst="rect">
                      <a:avLst/>
                    </a:prstGeom>
                    <a:noFill/>
                    <a:ln w="9525">
                      <a:noFill/>
                      <a:miter lim="800000"/>
                      <a:headEnd/>
                      <a:tailEnd/>
                    </a:ln>
                  </pic:spPr>
                </pic:pic>
              </a:graphicData>
            </a:graphic>
          </wp:inline>
        </w:drawing>
      </w:r>
    </w:p>
    <w:p w:rsidR="009703B2" w:rsidRPr="009703B2" w:rsidRDefault="009703B2" w:rsidP="009703B2">
      <w:pPr>
        <w:spacing w:before="100" w:beforeAutospacing="1" w:after="100" w:afterAutospacing="1" w:line="240" w:lineRule="auto"/>
        <w:rPr>
          <w:rFonts w:ascii="Book Antiqua" w:eastAsia="Times New Roman" w:hAnsi="Book Antiqua" w:cs="Times New Roman"/>
          <w:sz w:val="24"/>
          <w:szCs w:val="24"/>
        </w:rPr>
      </w:pPr>
      <w:proofErr w:type="gramStart"/>
      <w:r w:rsidRPr="009703B2">
        <w:rPr>
          <w:rFonts w:ascii="Book Antiqua" w:eastAsia="Times New Roman" w:hAnsi="Book Antiqua" w:cs="Arial"/>
          <w:sz w:val="20"/>
          <w:szCs w:val="20"/>
        </w:rPr>
        <w:t>where</w:t>
      </w:r>
      <w:proofErr w:type="gramEnd"/>
      <w:r w:rsidRPr="009703B2">
        <w:rPr>
          <w:rFonts w:ascii="Book Antiqua" w:eastAsia="Times New Roman" w:hAnsi="Book Antiqua" w:cs="Arial"/>
          <w:sz w:val="20"/>
          <w:szCs w:val="20"/>
        </w:rPr>
        <w:t>:</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E=emission rate of total fluorides, g/Mg (lb/ton) of 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proofErr w:type="spellStart"/>
      <w:r w:rsidRPr="009703B2">
        <w:rPr>
          <w:rFonts w:ascii="Book Antiqua" w:eastAsia="Times New Roman" w:hAnsi="Book Antiqua" w:cs="Arial"/>
          <w:sz w:val="20"/>
          <w:szCs w:val="20"/>
        </w:rPr>
        <w:t>C</w:t>
      </w:r>
      <w:r w:rsidRPr="009703B2">
        <w:rPr>
          <w:rFonts w:ascii="Book Antiqua" w:eastAsia="Times New Roman" w:hAnsi="Book Antiqua" w:cs="Arial"/>
          <w:sz w:val="20"/>
          <w:szCs w:val="20"/>
          <w:vertAlign w:val="subscript"/>
        </w:rPr>
        <w:t>si</w:t>
      </w:r>
      <w:proofErr w:type="spellEnd"/>
      <w:r w:rsidRPr="009703B2">
        <w:rPr>
          <w:rFonts w:ascii="Book Antiqua" w:eastAsia="Times New Roman" w:hAnsi="Book Antiqua" w:cs="Arial"/>
          <w:sz w:val="20"/>
          <w:szCs w:val="20"/>
        </w:rPr>
        <w:t>=concentration of total fluorides from emission point “</w:t>
      </w:r>
      <w:proofErr w:type="spellStart"/>
      <w:r w:rsidRPr="009703B2">
        <w:rPr>
          <w:rFonts w:ascii="Book Antiqua" w:eastAsia="Times New Roman" w:hAnsi="Book Antiqua" w:cs="Arial"/>
          <w:sz w:val="20"/>
          <w:szCs w:val="20"/>
        </w:rPr>
        <w:t>i</w:t>
      </w:r>
      <w:proofErr w:type="spellEnd"/>
      <w:r w:rsidRPr="009703B2">
        <w:rPr>
          <w:rFonts w:ascii="Book Antiqua" w:eastAsia="Times New Roman" w:hAnsi="Book Antiqua" w:cs="Arial"/>
          <w:sz w:val="20"/>
          <w:szCs w:val="20"/>
        </w:rPr>
        <w:t>,” mg/</w:t>
      </w:r>
      <w:proofErr w:type="spellStart"/>
      <w:r w:rsidRPr="009703B2">
        <w:rPr>
          <w:rFonts w:ascii="Book Antiqua" w:eastAsia="Times New Roman" w:hAnsi="Book Antiqua" w:cs="Arial"/>
          <w:sz w:val="20"/>
          <w:szCs w:val="20"/>
        </w:rPr>
        <w:t>dscm</w:t>
      </w:r>
      <w:proofErr w:type="spellEnd"/>
      <w:r w:rsidRPr="009703B2">
        <w:rPr>
          <w:rFonts w:ascii="Book Antiqua" w:eastAsia="Times New Roman" w:hAnsi="Book Antiqua" w:cs="Arial"/>
          <w:sz w:val="20"/>
          <w:szCs w:val="20"/>
        </w:rPr>
        <w:t xml:space="preserve"> (gr/dscf).</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proofErr w:type="spellStart"/>
      <w:r w:rsidRPr="009703B2">
        <w:rPr>
          <w:rFonts w:ascii="Book Antiqua" w:eastAsia="Times New Roman" w:hAnsi="Book Antiqua" w:cs="Arial"/>
          <w:sz w:val="20"/>
          <w:szCs w:val="20"/>
        </w:rPr>
        <w:t>Q</w:t>
      </w:r>
      <w:r w:rsidRPr="009703B2">
        <w:rPr>
          <w:rFonts w:ascii="Book Antiqua" w:eastAsia="Times New Roman" w:hAnsi="Book Antiqua" w:cs="Arial"/>
          <w:sz w:val="20"/>
          <w:szCs w:val="20"/>
          <w:vertAlign w:val="subscript"/>
        </w:rPr>
        <w:t>sdi</w:t>
      </w:r>
      <w:proofErr w:type="spellEnd"/>
      <w:r w:rsidRPr="009703B2">
        <w:rPr>
          <w:rFonts w:ascii="Book Antiqua" w:eastAsia="Times New Roman" w:hAnsi="Book Antiqua" w:cs="Arial"/>
          <w:sz w:val="20"/>
          <w:szCs w:val="20"/>
        </w:rPr>
        <w:t>=volumetric flow rate of effluent gas from emission point “</w:t>
      </w:r>
      <w:proofErr w:type="spellStart"/>
      <w:r w:rsidRPr="009703B2">
        <w:rPr>
          <w:rFonts w:ascii="Book Antiqua" w:eastAsia="Times New Roman" w:hAnsi="Book Antiqua" w:cs="Arial"/>
          <w:sz w:val="20"/>
          <w:szCs w:val="20"/>
        </w:rPr>
        <w:t>i</w:t>
      </w:r>
      <w:proofErr w:type="spellEnd"/>
      <w:r w:rsidRPr="009703B2">
        <w:rPr>
          <w:rFonts w:ascii="Book Antiqua" w:eastAsia="Times New Roman" w:hAnsi="Book Antiqua" w:cs="Arial"/>
          <w:sz w:val="20"/>
          <w:szCs w:val="20"/>
        </w:rPr>
        <w:t xml:space="preserve">,” </w:t>
      </w:r>
      <w:proofErr w:type="spellStart"/>
      <w:r w:rsidRPr="009703B2">
        <w:rPr>
          <w:rFonts w:ascii="Book Antiqua" w:eastAsia="Times New Roman" w:hAnsi="Book Antiqua" w:cs="Arial"/>
          <w:sz w:val="20"/>
          <w:szCs w:val="20"/>
        </w:rPr>
        <w:t>dscm</w:t>
      </w:r>
      <w:proofErr w:type="spellEnd"/>
      <w:r w:rsidRPr="009703B2">
        <w:rPr>
          <w:rFonts w:ascii="Book Antiqua" w:eastAsia="Times New Roman" w:hAnsi="Book Antiqua" w:cs="Arial"/>
          <w:sz w:val="20"/>
          <w:szCs w:val="20"/>
        </w:rPr>
        <w:t>/hr (dscf/hr).</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N=number of emission points associated with the affected facility.</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P=equivalent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 rate, Mg/hr (ton/hr).</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K=conversion factor, 1000 mg/g (7,000 gr/lb).</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(2) Method 13A or 13B shall be used to determine the total fluorides concentration (</w:t>
      </w:r>
      <w:proofErr w:type="spellStart"/>
      <w:r w:rsidRPr="009703B2">
        <w:rPr>
          <w:rFonts w:ascii="Book Antiqua" w:eastAsia="Times New Roman" w:hAnsi="Book Antiqua" w:cs="Arial"/>
          <w:sz w:val="20"/>
          <w:szCs w:val="20"/>
        </w:rPr>
        <w:t>C</w:t>
      </w:r>
      <w:r w:rsidRPr="009703B2">
        <w:rPr>
          <w:rFonts w:ascii="Book Antiqua" w:eastAsia="Times New Roman" w:hAnsi="Book Antiqua" w:cs="Arial"/>
          <w:sz w:val="20"/>
          <w:szCs w:val="20"/>
          <w:vertAlign w:val="subscript"/>
        </w:rPr>
        <w:t>si</w:t>
      </w:r>
      <w:proofErr w:type="spellEnd"/>
      <w:r w:rsidRPr="009703B2">
        <w:rPr>
          <w:rFonts w:ascii="Book Antiqua" w:eastAsia="Times New Roman" w:hAnsi="Book Antiqua" w:cs="Arial"/>
          <w:sz w:val="20"/>
          <w:szCs w:val="20"/>
        </w:rPr>
        <w:t>) and volumetric flow rate (</w:t>
      </w:r>
      <w:proofErr w:type="spellStart"/>
      <w:r w:rsidRPr="009703B2">
        <w:rPr>
          <w:rFonts w:ascii="Book Antiqua" w:eastAsia="Times New Roman" w:hAnsi="Book Antiqua" w:cs="Arial"/>
          <w:sz w:val="20"/>
          <w:szCs w:val="20"/>
        </w:rPr>
        <w:t>Q</w:t>
      </w:r>
      <w:r w:rsidRPr="009703B2">
        <w:rPr>
          <w:rFonts w:ascii="Book Antiqua" w:eastAsia="Times New Roman" w:hAnsi="Book Antiqua" w:cs="Arial"/>
          <w:sz w:val="20"/>
          <w:szCs w:val="20"/>
          <w:vertAlign w:val="subscript"/>
        </w:rPr>
        <w:t>sdi</w:t>
      </w:r>
      <w:proofErr w:type="spellEnd"/>
      <w:r w:rsidRPr="009703B2">
        <w:rPr>
          <w:rFonts w:ascii="Book Antiqua" w:eastAsia="Times New Roman" w:hAnsi="Book Antiqua" w:cs="Arial"/>
          <w:sz w:val="20"/>
          <w:szCs w:val="20"/>
        </w:rPr>
        <w:t xml:space="preserve">) of the effluent gas from each of the emission points. The sampling time and sample volume for each run shall be at least 60 minutes and 0.85 </w:t>
      </w:r>
      <w:proofErr w:type="spellStart"/>
      <w:r w:rsidRPr="009703B2">
        <w:rPr>
          <w:rFonts w:ascii="Book Antiqua" w:eastAsia="Times New Roman" w:hAnsi="Book Antiqua" w:cs="Arial"/>
          <w:sz w:val="20"/>
          <w:szCs w:val="20"/>
        </w:rPr>
        <w:t>dscm</w:t>
      </w:r>
      <w:proofErr w:type="spellEnd"/>
      <w:r w:rsidRPr="009703B2">
        <w:rPr>
          <w:rFonts w:ascii="Book Antiqua" w:eastAsia="Times New Roman" w:hAnsi="Book Antiqua" w:cs="Arial"/>
          <w:sz w:val="20"/>
          <w:szCs w:val="20"/>
        </w:rPr>
        <w:t xml:space="preserve"> (30 dscf).</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(3) The equivalent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feed rate (P) shall be computed for each run using the following equation:</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P=</w:t>
      </w:r>
      <w:proofErr w:type="spellStart"/>
      <w:r w:rsidRPr="009703B2">
        <w:rPr>
          <w:rFonts w:ascii="Book Antiqua" w:eastAsia="Times New Roman" w:hAnsi="Book Antiqua" w:cs="Arial"/>
          <w:sz w:val="20"/>
          <w:szCs w:val="20"/>
        </w:rPr>
        <w:t>M</w:t>
      </w:r>
      <w:r w:rsidRPr="009703B2">
        <w:rPr>
          <w:rFonts w:ascii="Book Antiqua" w:eastAsia="Times New Roman" w:hAnsi="Book Antiqua" w:cs="Arial"/>
          <w:sz w:val="20"/>
          <w:szCs w:val="20"/>
          <w:vertAlign w:val="subscript"/>
        </w:rPr>
        <w:t>p</w:t>
      </w:r>
      <w:r w:rsidRPr="009703B2">
        <w:rPr>
          <w:rFonts w:ascii="Book Antiqua" w:eastAsia="Times New Roman" w:hAnsi="Book Antiqua" w:cs="Arial"/>
          <w:sz w:val="20"/>
          <w:szCs w:val="20"/>
        </w:rPr>
        <w:t>R</w:t>
      </w:r>
      <w:r w:rsidRPr="009703B2">
        <w:rPr>
          <w:rFonts w:ascii="Book Antiqua" w:eastAsia="Times New Roman" w:hAnsi="Book Antiqua" w:cs="Arial"/>
          <w:sz w:val="20"/>
          <w:szCs w:val="20"/>
          <w:vertAlign w:val="subscript"/>
        </w:rPr>
        <w:t>p</w:t>
      </w:r>
      <w:proofErr w:type="spellEnd"/>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proofErr w:type="gramStart"/>
      <w:r w:rsidRPr="009703B2">
        <w:rPr>
          <w:rFonts w:ascii="Book Antiqua" w:eastAsia="Times New Roman" w:hAnsi="Book Antiqua" w:cs="Arial"/>
          <w:sz w:val="20"/>
          <w:szCs w:val="20"/>
        </w:rPr>
        <w:t>where</w:t>
      </w:r>
      <w:proofErr w:type="gramEnd"/>
      <w:r w:rsidRPr="009703B2">
        <w:rPr>
          <w:rFonts w:ascii="Book Antiqua" w:eastAsia="Times New Roman" w:hAnsi="Book Antiqua" w:cs="Arial"/>
          <w:sz w:val="20"/>
          <w:szCs w:val="20"/>
        </w:rPr>
        <w:t>:</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M</w:t>
      </w:r>
      <w:r w:rsidRPr="009703B2">
        <w:rPr>
          <w:rFonts w:ascii="Book Antiqua" w:eastAsia="Times New Roman" w:hAnsi="Book Antiqua" w:cs="Arial"/>
          <w:sz w:val="20"/>
          <w:szCs w:val="20"/>
          <w:vertAlign w:val="subscript"/>
        </w:rPr>
        <w:t>p</w:t>
      </w:r>
      <w:r w:rsidRPr="009703B2">
        <w:rPr>
          <w:rFonts w:ascii="Book Antiqua" w:eastAsia="Times New Roman" w:hAnsi="Book Antiqua" w:cs="Arial"/>
          <w:sz w:val="20"/>
          <w:szCs w:val="20"/>
        </w:rPr>
        <w:t>=total mass flow rate of phosphorus-bearing feed, Mg/hr (ton/hr).</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proofErr w:type="spellStart"/>
      <w:r w:rsidRPr="009703B2">
        <w:rPr>
          <w:rFonts w:ascii="Book Antiqua" w:eastAsia="Times New Roman" w:hAnsi="Book Antiqua" w:cs="Arial"/>
          <w:sz w:val="20"/>
          <w:szCs w:val="20"/>
        </w:rPr>
        <w:t>R</w:t>
      </w:r>
      <w:r w:rsidRPr="009703B2">
        <w:rPr>
          <w:rFonts w:ascii="Book Antiqua" w:eastAsia="Times New Roman" w:hAnsi="Book Antiqua" w:cs="Arial"/>
          <w:sz w:val="20"/>
          <w:szCs w:val="20"/>
          <w:vertAlign w:val="subscript"/>
        </w:rPr>
        <w:t>p</w:t>
      </w:r>
      <w:proofErr w:type="spellEnd"/>
      <w:r w:rsidRPr="009703B2">
        <w:rPr>
          <w:rFonts w:ascii="Book Antiqua" w:eastAsia="Times New Roman" w:hAnsi="Book Antiqua" w:cs="Arial"/>
          <w:sz w:val="20"/>
          <w:szCs w:val="20"/>
        </w:rPr>
        <w:t>=P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content, decimal fraction.</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w:t>
      </w:r>
      <w:proofErr w:type="spellStart"/>
      <w:r w:rsidRPr="009703B2">
        <w:rPr>
          <w:rFonts w:ascii="Book Antiqua" w:eastAsia="Times New Roman" w:hAnsi="Book Antiqua" w:cs="Arial"/>
          <w:sz w:val="20"/>
          <w:szCs w:val="20"/>
        </w:rPr>
        <w:t>i</w:t>
      </w:r>
      <w:proofErr w:type="spellEnd"/>
      <w:r w:rsidRPr="009703B2">
        <w:rPr>
          <w:rFonts w:ascii="Book Antiqua" w:eastAsia="Times New Roman" w:hAnsi="Book Antiqua" w:cs="Arial"/>
          <w:sz w:val="20"/>
          <w:szCs w:val="20"/>
        </w:rPr>
        <w:t>) The accountability system of §60.213(a) shall be used to determine the mass flow rate (M</w:t>
      </w:r>
      <w:r w:rsidRPr="009703B2">
        <w:rPr>
          <w:rFonts w:ascii="Book Antiqua" w:eastAsia="Times New Roman" w:hAnsi="Book Antiqua" w:cs="Arial"/>
          <w:sz w:val="20"/>
          <w:szCs w:val="20"/>
          <w:vertAlign w:val="subscript"/>
        </w:rPr>
        <w:t>p</w:t>
      </w:r>
      <w:r w:rsidRPr="009703B2">
        <w:rPr>
          <w:rFonts w:ascii="Book Antiqua" w:eastAsia="Times New Roman" w:hAnsi="Book Antiqua" w:cs="Arial"/>
          <w:sz w:val="20"/>
          <w:szCs w:val="20"/>
        </w:rPr>
        <w:t>) of the phosphorus-bearing feed.</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(ii) The Association of Official Analytical Chemists (AOAC) Method 9 (incorporated by reference—see §60.17) shall be used to determine the P</w:t>
      </w:r>
      <w:r w:rsidRPr="009703B2">
        <w:rPr>
          <w:rFonts w:ascii="Book Antiqua" w:eastAsia="Times New Roman" w:hAnsi="Book Antiqua" w:cs="Arial"/>
          <w:sz w:val="20"/>
          <w:szCs w:val="20"/>
          <w:vertAlign w:val="subscript"/>
        </w:rPr>
        <w:t>2</w:t>
      </w:r>
      <w:r w:rsidRPr="009703B2">
        <w:rPr>
          <w:rFonts w:ascii="Book Antiqua" w:eastAsia="Times New Roman" w:hAnsi="Book Antiqua" w:cs="Arial"/>
          <w:sz w:val="20"/>
          <w:szCs w:val="20"/>
        </w:rPr>
        <w:t>O</w:t>
      </w:r>
      <w:r w:rsidRPr="009703B2">
        <w:rPr>
          <w:rFonts w:ascii="Book Antiqua" w:eastAsia="Times New Roman" w:hAnsi="Book Antiqua" w:cs="Arial"/>
          <w:sz w:val="20"/>
          <w:szCs w:val="20"/>
          <w:vertAlign w:val="subscript"/>
        </w:rPr>
        <w:t>5</w:t>
      </w:r>
      <w:r w:rsidRPr="009703B2">
        <w:rPr>
          <w:rFonts w:ascii="Book Antiqua" w:eastAsia="Times New Roman" w:hAnsi="Book Antiqua" w:cs="Arial"/>
          <w:sz w:val="20"/>
          <w:szCs w:val="20"/>
        </w:rPr>
        <w:t>content (</w:t>
      </w:r>
      <w:proofErr w:type="spellStart"/>
      <w:r w:rsidRPr="009703B2">
        <w:rPr>
          <w:rFonts w:ascii="Book Antiqua" w:eastAsia="Times New Roman" w:hAnsi="Book Antiqua" w:cs="Arial"/>
          <w:sz w:val="20"/>
          <w:szCs w:val="20"/>
        </w:rPr>
        <w:t>R</w:t>
      </w:r>
      <w:r w:rsidRPr="009703B2">
        <w:rPr>
          <w:rFonts w:ascii="Book Antiqua" w:eastAsia="Times New Roman" w:hAnsi="Book Antiqua" w:cs="Arial"/>
          <w:sz w:val="20"/>
          <w:szCs w:val="20"/>
          <w:vertAlign w:val="subscript"/>
        </w:rPr>
        <w:t>p</w:t>
      </w:r>
      <w:proofErr w:type="spellEnd"/>
      <w:r w:rsidRPr="009703B2">
        <w:rPr>
          <w:rFonts w:ascii="Book Antiqua" w:eastAsia="Times New Roman" w:hAnsi="Book Antiqua" w:cs="Arial"/>
          <w:sz w:val="20"/>
          <w:szCs w:val="20"/>
        </w:rPr>
        <w:t>) of the feed.</w:t>
      </w:r>
    </w:p>
    <w:p w:rsidR="009703B2" w:rsidRPr="009703B2" w:rsidRDefault="009703B2" w:rsidP="009703B2">
      <w:pPr>
        <w:spacing w:before="100" w:beforeAutospacing="1" w:after="100" w:afterAutospacing="1" w:line="240" w:lineRule="auto"/>
        <w:rPr>
          <w:rFonts w:ascii="Book Antiqua" w:eastAsia="Times New Roman" w:hAnsi="Book Antiqua" w:cs="Arial"/>
          <w:sz w:val="20"/>
          <w:szCs w:val="20"/>
        </w:rPr>
      </w:pPr>
      <w:r w:rsidRPr="009703B2">
        <w:rPr>
          <w:rFonts w:ascii="Book Antiqua" w:eastAsia="Times New Roman" w:hAnsi="Book Antiqua" w:cs="Arial"/>
          <w:sz w:val="20"/>
          <w:szCs w:val="20"/>
        </w:rPr>
        <w:t>[54 FR 6670, Feb. 14, 1989, as amended at 65 FR 61757, Oct. 17, 2000]</w:t>
      </w:r>
    </w:p>
    <w:p w:rsidR="00AE0AC6" w:rsidRDefault="00AE0AC6"/>
    <w:sectPr w:rsidR="00AE0AC6" w:rsidSect="00AE0AC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3B2" w:rsidRDefault="009703B2" w:rsidP="009703B2">
      <w:pPr>
        <w:spacing w:after="0" w:line="240" w:lineRule="auto"/>
      </w:pPr>
      <w:r>
        <w:separator/>
      </w:r>
    </w:p>
  </w:endnote>
  <w:endnote w:type="continuationSeparator" w:id="0">
    <w:p w:rsidR="009703B2" w:rsidRDefault="009703B2" w:rsidP="009703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A23" w:rsidRDefault="00036A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21440"/>
      <w:docPartObj>
        <w:docPartGallery w:val="Page Numbers (Bottom of Page)"/>
        <w:docPartUnique/>
      </w:docPartObj>
    </w:sdtPr>
    <w:sdtContent>
      <w:p w:rsidR="009703B2" w:rsidRDefault="009703B2">
        <w:pPr>
          <w:pStyle w:val="Footer"/>
          <w:jc w:val="center"/>
        </w:pPr>
        <w:fldSimple w:instr=" PAGE   \* MERGEFORMAT ">
          <w:r w:rsidR="00036A23">
            <w:rPr>
              <w:noProof/>
            </w:rPr>
            <w:t>3</w:t>
          </w:r>
        </w:fldSimple>
      </w:p>
    </w:sdtContent>
  </w:sdt>
  <w:p w:rsidR="009703B2" w:rsidRDefault="009703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A23" w:rsidRDefault="00036A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3B2" w:rsidRDefault="009703B2" w:rsidP="009703B2">
      <w:pPr>
        <w:spacing w:after="0" w:line="240" w:lineRule="auto"/>
      </w:pPr>
      <w:r>
        <w:separator/>
      </w:r>
    </w:p>
  </w:footnote>
  <w:footnote w:type="continuationSeparator" w:id="0">
    <w:p w:rsidR="009703B2" w:rsidRDefault="009703B2" w:rsidP="009703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A23" w:rsidRDefault="00036A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A23" w:rsidRDefault="00036A2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A23" w:rsidRDefault="00036A2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rsids>
    <w:rsidRoot w:val="009703B2"/>
    <w:rsid w:val="00036A23"/>
    <w:rsid w:val="009703B2"/>
    <w:rsid w:val="00AE0A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AC6"/>
  </w:style>
  <w:style w:type="paragraph" w:styleId="Heading5">
    <w:name w:val="heading 5"/>
    <w:basedOn w:val="Normal"/>
    <w:link w:val="Heading5Char"/>
    <w:uiPriority w:val="9"/>
    <w:qFormat/>
    <w:rsid w:val="009703B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9703B2"/>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9703B2"/>
    <w:rPr>
      <w:color w:val="0000FF"/>
      <w:u w:val="single"/>
    </w:rPr>
  </w:style>
  <w:style w:type="paragraph" w:styleId="NormalWeb">
    <w:name w:val="Normal (Web)"/>
    <w:basedOn w:val="Normal"/>
    <w:uiPriority w:val="99"/>
    <w:semiHidden/>
    <w:unhideWhenUsed/>
    <w:rsid w:val="009703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9703B2"/>
    <w:rPr>
      <w:rFonts w:ascii="Arial" w:hAnsi="Arial" w:cs="Arial" w:hint="default"/>
      <w:b w:val="0"/>
      <w:bCs w:val="0"/>
      <w:i w:val="0"/>
      <w:iCs w:val="0"/>
      <w:smallCaps w:val="0"/>
      <w:sz w:val="20"/>
      <w:szCs w:val="20"/>
    </w:rPr>
  </w:style>
  <w:style w:type="character" w:customStyle="1" w:styleId="mainheader1">
    <w:name w:val="mainheader1"/>
    <w:basedOn w:val="DefaultParagraphFont"/>
    <w:rsid w:val="009703B2"/>
    <w:rPr>
      <w:b/>
      <w:bCs/>
      <w:sz w:val="31"/>
      <w:szCs w:val="31"/>
    </w:rPr>
  </w:style>
  <w:style w:type="character" w:customStyle="1" w:styleId="div5head">
    <w:name w:val="div5head"/>
    <w:basedOn w:val="DefaultParagraphFont"/>
    <w:rsid w:val="009703B2"/>
  </w:style>
  <w:style w:type="paragraph" w:styleId="BalloonText">
    <w:name w:val="Balloon Text"/>
    <w:basedOn w:val="Normal"/>
    <w:link w:val="BalloonTextChar"/>
    <w:uiPriority w:val="99"/>
    <w:semiHidden/>
    <w:unhideWhenUsed/>
    <w:rsid w:val="009703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3B2"/>
    <w:rPr>
      <w:rFonts w:ascii="Tahoma" w:hAnsi="Tahoma" w:cs="Tahoma"/>
      <w:sz w:val="16"/>
      <w:szCs w:val="16"/>
    </w:rPr>
  </w:style>
  <w:style w:type="paragraph" w:styleId="Header">
    <w:name w:val="header"/>
    <w:basedOn w:val="Normal"/>
    <w:link w:val="HeaderChar"/>
    <w:uiPriority w:val="99"/>
    <w:semiHidden/>
    <w:unhideWhenUsed/>
    <w:rsid w:val="009703B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703B2"/>
  </w:style>
  <w:style w:type="paragraph" w:styleId="Footer">
    <w:name w:val="footer"/>
    <w:basedOn w:val="Normal"/>
    <w:link w:val="FooterChar"/>
    <w:uiPriority w:val="99"/>
    <w:unhideWhenUsed/>
    <w:rsid w:val="00970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3B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ecfr.gpoaccess.gov/cgi/t/text/text-idx?c=ecfr;sid=c4d256fffb6cc8900385aa744a8fab16;rgn=div6;view=text;node=40%3A6.0.1.1.1.37;idno=40;cc=ecfr"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cfr.gpoaccess.gov/cgi/t/text/text-idx?c=ecfr;sid=c4d256fffb6cc8900385aa744a8fab16;rgn=div6;view=text;node=40%3A6.0.1.1.1.35;idno=40;cc=ecfr"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2012-02-10T19:19:00Z</dcterms:created>
  <dcterms:modified xsi:type="dcterms:W3CDTF">2012-02-10T19:19:00Z</dcterms:modified>
</cp:coreProperties>
</file>